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13FB6">
      <w:pPr>
        <w:numPr>
          <w:ilvl w:val="0"/>
          <w:numId w:val="0"/>
        </w:numPr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val="en-US" w:eastAsia="zh-CN"/>
        </w:rPr>
        <w:t>附件1：方案</w:t>
      </w:r>
      <w:r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eastAsia="zh-CN"/>
        </w:rPr>
        <w:t>评审标准</w:t>
      </w:r>
    </w:p>
    <w:tbl>
      <w:tblPr>
        <w:tblStyle w:val="3"/>
        <w:tblW w:w="9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6841"/>
      </w:tblGrid>
      <w:tr w14:paraId="1D199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0D63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经营方案评分表（权数</w:t>
            </w:r>
            <w:r>
              <w:rPr>
                <w:rStyle w:val="6"/>
                <w:rFonts w:eastAsia="等线"/>
                <w:highlight w:val="none"/>
                <w:lang w:val="en-US" w:eastAsia="zh-CN" w:bidi="ar"/>
              </w:rPr>
              <w:t>0.65</w:t>
            </w:r>
            <w:r>
              <w:rPr>
                <w:rStyle w:val="5"/>
                <w:highlight w:val="none"/>
                <w:lang w:val="en-US" w:eastAsia="zh-CN" w:bidi="ar"/>
              </w:rPr>
              <w:t>，满分65分）</w:t>
            </w:r>
          </w:p>
        </w:tc>
      </w:tr>
      <w:tr w14:paraId="4C2AD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评审因素分值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评审标准</w:t>
            </w:r>
          </w:p>
        </w:tc>
      </w:tr>
      <w:tr w14:paraId="68F7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运营方案完整度（20分）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8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包括酒店/长租公寓定位、品牌介绍、运营模式、投资回报分析、团队介绍、案例介绍、公司资金实力、经营规模、经营计划等有详细介绍及图片展示。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1.方案完整，且完全贴合项目整体定位，明确目标客群，具备鲜明差异化优势，16-20分。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2.方案较完整，且定位较合理，基本贴合项目定位，目标客群清晰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有一定差异化，适配性较好，11-15分。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3.方案完整度一般，且定位模糊，与项目定位关联性弱，目标客群不明确，无差异化，适配性较差。6-10分。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4.方案完整度很差，且未提供明确经营定位及相关介绍，0-3分。</w:t>
            </w:r>
          </w:p>
        </w:tc>
      </w:tr>
      <w:tr w14:paraId="523A7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风险应对（10分）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B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应选单位对酒店经营过程中可能出现的市场风险、运营风险、政策风险等的预判能力及应对措施的有效性。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 风险预判全面，应对措施具体、可行，能有效规避或降低各类风险对经营的影响，8-10分；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 能预判主要风险，有基本的应对措施，具备一定的风险规避能力，5-7分；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 风险预判不全面，应对措施简单笼统，风险规避能力弱，3-4分；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 未预判风险，未提供应对措施，0分。</w:t>
            </w:r>
          </w:p>
        </w:tc>
      </w:tr>
      <w:tr w14:paraId="5B5A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酒店定位（</w:t>
            </w:r>
            <w:r>
              <w:rPr>
                <w:rStyle w:val="7"/>
                <w:rFonts w:eastAsia="宋体"/>
                <w:highlight w:val="none"/>
                <w:lang w:val="en-US" w:eastAsia="zh-CN" w:bidi="ar"/>
              </w:rPr>
              <w:t>10</w:t>
            </w:r>
            <w:r>
              <w:rPr>
                <w:rStyle w:val="8"/>
                <w:highlight w:val="none"/>
                <w:lang w:val="en-US" w:eastAsia="zh-CN" w:bidi="ar"/>
              </w:rPr>
              <w:t>分）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B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依据酒店的定位档次分为高端（四钻）及以上、舒适（三钻）、经济型及以下（两钻及以下）评定分数（按携程APP“酒店”的划分）。</w:t>
            </w:r>
          </w:p>
          <w:p w14:paraId="4C5DE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drawing>
                <wp:inline distT="0" distB="0" distL="114300" distR="114300">
                  <wp:extent cx="1336040" cy="1461770"/>
                  <wp:effectExtent l="0" t="0" r="16510" b="5080"/>
                  <wp:docPr id="12" name="图片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40" cy="146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FangSong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drawing>
                <wp:inline distT="0" distB="0" distL="114300" distR="114300">
                  <wp:extent cx="1293495" cy="1466215"/>
                  <wp:effectExtent l="0" t="0" r="1905" b="635"/>
                  <wp:docPr id="10" name="图片 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495" cy="146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FangSong_GB2312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drawing>
                <wp:inline distT="0" distB="0" distL="114300" distR="114300">
                  <wp:extent cx="1338580" cy="1495425"/>
                  <wp:effectExtent l="0" t="0" r="13970" b="9525"/>
                  <wp:docPr id="5" name="图片 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58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1.高端（四钻）及以上，8-10分。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2.舒适（三钻），5-7分。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3.经济型及以下（两钻及以下），1-3分。</w:t>
            </w:r>
          </w:p>
          <w:p w14:paraId="28455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highlight w:val="none"/>
              </w:rPr>
              <w:t>佐证材料：在</w:t>
            </w:r>
            <w:r>
              <w:rPr>
                <w:rFonts w:hint="eastAsia" w:ascii="FangSong_GB2312" w:hAnsi="FangSong_GB2312" w:eastAsia="FangSong_GB2312" w:cs="FangSong_GB2312"/>
                <w:color w:val="000000"/>
                <w:highlight w:val="none"/>
                <w:lang w:val="en-US" w:eastAsia="zh-CN"/>
              </w:rPr>
              <w:t>评审</w:t>
            </w:r>
            <w:r>
              <w:rPr>
                <w:rFonts w:hint="eastAsia" w:ascii="FangSong_GB2312" w:hAnsi="FangSong_GB2312" w:eastAsia="FangSong_GB2312" w:cs="FangSong_GB2312"/>
                <w:color w:val="000000"/>
                <w:highlight w:val="none"/>
              </w:rPr>
              <w:t>材料提交之前将“携程app</w:t>
            </w:r>
            <w:r>
              <w:rPr>
                <w:rFonts w:hint="eastAsia" w:ascii="FangSong_GB2312" w:hAnsi="FangSong_GB2312" w:eastAsia="FangSong_GB2312" w:cs="FangSong_GB2312"/>
                <w:color w:val="000000"/>
                <w:highlight w:val="none"/>
                <w:lang w:eastAsia="zh-CN"/>
              </w:rPr>
              <w:t>”</w:t>
            </w:r>
            <w:r>
              <w:rPr>
                <w:rFonts w:hint="eastAsia" w:ascii="FangSong_GB2312" w:hAnsi="FangSong_GB2312" w:eastAsia="FangSong_GB2312" w:cs="FangSong_GB2312"/>
                <w:color w:val="000000"/>
                <w:highlight w:val="none"/>
                <w:lang w:val="en-US" w:eastAsia="zh-CN"/>
              </w:rPr>
              <w:t>中酒店划分情况</w:t>
            </w:r>
            <w:r>
              <w:rPr>
                <w:rFonts w:hint="eastAsia" w:ascii="FangSong_GB2312" w:hAnsi="FangSong_GB2312" w:eastAsia="FangSong_GB2312" w:cs="FangSong_GB2312"/>
                <w:color w:val="000000"/>
                <w:highlight w:val="none"/>
              </w:rPr>
              <w:t>打印并盖章，更新日期为</w:t>
            </w:r>
            <w:r>
              <w:rPr>
                <w:rFonts w:hint="eastAsia" w:ascii="FangSong_GB2312" w:hAnsi="FangSong_GB2312" w:eastAsia="FangSong_GB2312" w:cs="FangSong_GB2312"/>
                <w:color w:val="000000"/>
                <w:highlight w:val="none"/>
                <w:lang w:val="en-US" w:eastAsia="zh-CN"/>
              </w:rPr>
              <w:t>评审</w:t>
            </w:r>
            <w:r>
              <w:rPr>
                <w:rFonts w:hint="eastAsia" w:ascii="FangSong_GB2312" w:hAnsi="FangSong_GB2312" w:eastAsia="FangSong_GB2312" w:cs="FangSong_GB2312"/>
                <w:color w:val="000000"/>
                <w:highlight w:val="none"/>
              </w:rPr>
              <w:t>日前3天内；以上佐证材料与</w:t>
            </w:r>
            <w:r>
              <w:rPr>
                <w:rFonts w:hint="eastAsia" w:ascii="FangSong_GB2312" w:hAnsi="FangSong_GB2312" w:eastAsia="FangSong_GB2312" w:cs="FangSong_GB2312"/>
                <w:color w:val="000000"/>
                <w:highlight w:val="none"/>
                <w:lang w:val="en-US" w:eastAsia="zh-CN"/>
              </w:rPr>
              <w:t>其他</w:t>
            </w:r>
            <w:r>
              <w:rPr>
                <w:rFonts w:hint="eastAsia" w:ascii="FangSong_GB2312" w:hAnsi="FangSong_GB2312" w:eastAsia="FangSong_GB2312" w:cs="FangSong_GB2312"/>
                <w:color w:val="000000"/>
                <w:highlight w:val="none"/>
              </w:rPr>
              <w:t>资料一起提交，评委依据其所提交的资料进行打分，</w:t>
            </w:r>
            <w:r>
              <w:rPr>
                <w:rFonts w:hint="eastAsia" w:ascii="FangSong_GB2312" w:hAnsi="FangSong_GB2312" w:eastAsia="FangSong_GB2312" w:cs="FangSong_GB2312"/>
                <w:color w:val="000000"/>
                <w:highlight w:val="none"/>
                <w:lang w:val="en-US" w:eastAsia="zh-CN"/>
              </w:rPr>
              <w:t>报名</w:t>
            </w:r>
            <w:r>
              <w:rPr>
                <w:rFonts w:hint="eastAsia" w:ascii="FangSong_GB2312" w:hAnsi="FangSong_GB2312" w:eastAsia="FangSong_GB2312" w:cs="FangSong_GB2312"/>
                <w:color w:val="000000"/>
                <w:highlight w:val="none"/>
              </w:rPr>
              <w:t>人提交的品牌与榜单对应的品牌需保持名称一致，评委可在</w:t>
            </w:r>
            <w:r>
              <w:rPr>
                <w:rFonts w:hint="eastAsia" w:ascii="FangSong_GB2312" w:hAnsi="FangSong_GB2312" w:eastAsia="FangSong_GB2312" w:cs="FangSong_GB2312"/>
                <w:color w:val="000000"/>
                <w:highlight w:val="none"/>
                <w:lang w:val="en-US" w:eastAsia="zh-CN"/>
              </w:rPr>
              <w:t>评审</w:t>
            </w:r>
            <w:r>
              <w:rPr>
                <w:rFonts w:hint="eastAsia" w:ascii="FangSong_GB2312" w:hAnsi="FangSong_GB2312" w:eastAsia="FangSong_GB2312" w:cs="FangSong_GB2312"/>
                <w:color w:val="000000"/>
                <w:highlight w:val="none"/>
              </w:rPr>
              <w:t>现场进行上网核实</w:t>
            </w:r>
            <w:r>
              <w:rPr>
                <w:rFonts w:hint="eastAsia" w:ascii="FangSong_GB2312" w:hAnsi="FangSong_GB2312" w:eastAsia="FangSong_GB2312" w:cs="FangSong_GB2312"/>
                <w:color w:val="000000"/>
                <w:highlight w:val="none"/>
                <w:lang w:eastAsia="zh-CN"/>
              </w:rPr>
              <w:t>。</w:t>
            </w:r>
            <w:r>
              <w:rPr>
                <w:rFonts w:hint="eastAsia" w:ascii="FangSong_GB2312" w:hAnsi="FangSong_GB2312" w:eastAsia="FangSong_GB2312" w:cs="FangSong_GB2312"/>
                <w:color w:val="000000"/>
                <w:highlight w:val="none"/>
                <w:lang w:val="en-US" w:eastAsia="zh-CN"/>
              </w:rPr>
              <w:t>如新品牌无法在“携程app”上查询到的以互联网相关资料查询为准</w:t>
            </w:r>
            <w:r>
              <w:rPr>
                <w:rFonts w:hint="eastAsia" w:ascii="FangSong_GB2312" w:hAnsi="FangSong_GB2312" w:eastAsia="FangSong_GB2312" w:cs="FangSong_GB2312"/>
                <w:color w:val="000000"/>
                <w:highlight w:val="none"/>
              </w:rPr>
              <w:t>。</w:t>
            </w:r>
          </w:p>
        </w:tc>
      </w:tr>
      <w:tr w14:paraId="4090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酒店品牌规模（10）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根据酒店品牌规模情况评定分数。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1.国际星级酒店连锁品牌（如万豪、希尔顿、万达等），8-10分。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2.国内连锁品牌（如全季），5-7分，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3.区域品牌（如朵兰达），2-3分，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4.其他，1分。</w:t>
            </w:r>
          </w:p>
        </w:tc>
      </w:tr>
      <w:tr w14:paraId="7AEA6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团队配置（5分）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5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拟派驻酒店的核心管理团队（总经理、运营总监、销售总监等）的配置完整性、专业性，团队人员数量及分工合理性。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1.团队配置完整，核心岗位人员齐全，分工明确，均具备酒店相关从业资质，适配酒店定位及经营需求，5分；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2.团队配置较完整，核心岗位人员基本齐全，分工较明确，大部分人员具备相关从业资质，4分；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3.团队配置不完整，核心岗位人员缺失，分工不明确，少量人员具备相关从业资质，1-3分；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4.未提供团队配置方案，0分。</w:t>
            </w:r>
          </w:p>
        </w:tc>
      </w:tr>
      <w:tr w14:paraId="30728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投资回报测算（5分）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C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酒店行业有深入的研究和分析，对市场需求有客观和准确的判断，具有明确及明晰的投入产出分析测算等内容，符合市场行为，投资逻辑合理，具有良性的投资周期与回报计划。包括但不限于提供项目投资预算、经营财务测算等数据内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1.优秀，5分；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2.良好，4分；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3.合格，3分；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4.不合格，0分。</w:t>
            </w:r>
          </w:p>
        </w:tc>
      </w:tr>
      <w:tr w14:paraId="4BEBF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酒店特色呈现（5分）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1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有创新性展现，个性突出，能够彰显品质价值。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1.优秀,5分；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2.良好,4分；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3.合格,3分；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4.不合格,0分</w:t>
            </w:r>
          </w:p>
        </w:tc>
      </w:tr>
      <w:tr w14:paraId="7E46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53D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BFA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E0F5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213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903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002E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00BC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5"/>
                <w:highlight w:val="none"/>
                <w:lang w:val="en-US" w:eastAsia="zh-CN" w:bidi="ar"/>
              </w:rPr>
              <w:t>企业综合实力（权数</w:t>
            </w:r>
            <w:r>
              <w:rPr>
                <w:rStyle w:val="6"/>
                <w:rFonts w:eastAsia="等线"/>
                <w:highlight w:val="none"/>
                <w:lang w:val="en-US" w:eastAsia="zh-CN" w:bidi="ar"/>
              </w:rPr>
              <w:t>0.35</w:t>
            </w:r>
            <w:r>
              <w:rPr>
                <w:rStyle w:val="5"/>
                <w:highlight w:val="none"/>
                <w:lang w:val="en-US" w:eastAsia="zh-CN" w:bidi="ar"/>
              </w:rPr>
              <w:t>，满分35分）</w:t>
            </w:r>
          </w:p>
        </w:tc>
      </w:tr>
      <w:tr w14:paraId="20EE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6D12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评审因素分值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434F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评审标准</w:t>
            </w:r>
          </w:p>
        </w:tc>
      </w:tr>
      <w:tr w14:paraId="54C2E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企业过往业绩（8分）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7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评审企业近3年内酒店/长租公寓成功项目案例经营面积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1.经营面积≥20000㎡，6-8分；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2.15000㎡≤经营面积＜20000㎡，4-5分；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3.12000㎡≤经营面积＜15000㎡，2-3分；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此经营面积依据报名人提供的案例累积后计分。</w:t>
            </w:r>
          </w:p>
        </w:tc>
      </w:tr>
      <w:tr w14:paraId="4F5E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案例个数（8</w:t>
            </w:r>
            <w:r>
              <w:rPr>
                <w:rStyle w:val="9"/>
                <w:b w:val="0"/>
                <w:bCs w:val="0"/>
                <w:highlight w:val="none"/>
                <w:lang w:val="en-US" w:eastAsia="zh-CN" w:bidi="ar"/>
              </w:rPr>
              <w:t>分）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B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报名人提供近3年内酒店/长租公寓在营的成功项目案例个数。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1.案例个数＞4个，6-8分；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2.2个＜案例个数≤4个，4-5分；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3.1个＜案例个数≤2个，2-3分。</w:t>
            </w:r>
          </w:p>
        </w:tc>
      </w:tr>
      <w:tr w14:paraId="610BE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案例经营档次（5分）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1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报名人提供的已经营成功项目案例档次，如有多个案例的取最高档次（不累加）。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1.高端（三钻）及以上，5分；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2.舒服（两钻），4分；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3.经济及以下（一钻及以下），1-3分。</w:t>
            </w:r>
          </w:p>
        </w:tc>
      </w:tr>
      <w:tr w14:paraId="2EBAF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企业资质及信誉（5分）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D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评审企业营业执照、相关经营许可证等资质的完整性、有效性，企业信用记录、行业口碑及过往履约情况。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1.资质齐全、有效，企业信用良好，无失信记录，行业口碑极佳，过往履约率100%，5分；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2.资质齐全、有效，企业信用良好，无重大失信及记录，行业口碑较好，过往履约率较高，3分；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3.资质基本齐全，存在轻微失信记录（无重大影响），行业口碑一般，过往有少量履约瑕疵，0-2分；</w:t>
            </w:r>
          </w:p>
        </w:tc>
      </w:tr>
      <w:tr w14:paraId="0CEE1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资金实力（5分）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9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评审企业注册资本、净资产、流动资金及融资能力，提供有效的资金证明，确保具备公寓运营启动及履约能力。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 资金实力雄厚，注册资本不低于1000万元，净资产充足，流动资金能完全覆盖酒店运营启动需求，融资能力强，5分；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 资金实力较强，注册资本不低于500万元，净资产及流动资金能满足酒店基本运营启动需求，融资能力较好，4分；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 资金实力一般，注册资本不低于200万元，流动资金基本能覆盖部分启动需求，融资能力有限，1-3分；</w:t>
            </w:r>
          </w:p>
        </w:tc>
      </w:tr>
      <w:tr w14:paraId="4248C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0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服务标准及培训体系（4分）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F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评审投标人制定的酒店服务标准（客房服务、餐饮服务、会议服务等）的完整性、规范性，以及团队培训体系的完善性。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1.服务标准完整、规范，贴合酒店定位，可落地执行；培训体系完善，有定期培训计划、考核机制，能保障服务品质，4分；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2.有基本的服务标准，较规范；有简单的培训计划，能满足基础服务需求，3分；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3.服务标准不完整，规范性不足；培训体系不完善，无明确培训计划，2分；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4.未提供服务标准及培训体系，0分。</w:t>
            </w:r>
          </w:p>
        </w:tc>
      </w:tr>
    </w:tbl>
    <w:p w14:paraId="5BEE89CB">
      <w:pPr>
        <w:numPr>
          <w:ilvl w:val="0"/>
          <w:numId w:val="0"/>
        </w:numPr>
        <w:ind w:left="280" w:leftChars="0"/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eastAsia="zh-CN"/>
        </w:rPr>
      </w:pPr>
    </w:p>
    <w:p w14:paraId="051320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32C4"/>
    <w:rsid w:val="006030FD"/>
    <w:rsid w:val="00B00EC5"/>
    <w:rsid w:val="00F346E8"/>
    <w:rsid w:val="011C17A8"/>
    <w:rsid w:val="01AB0211"/>
    <w:rsid w:val="01CF5248"/>
    <w:rsid w:val="02277FA0"/>
    <w:rsid w:val="028E4D03"/>
    <w:rsid w:val="036D5AED"/>
    <w:rsid w:val="03CD0FA0"/>
    <w:rsid w:val="043833AE"/>
    <w:rsid w:val="044E2E12"/>
    <w:rsid w:val="04AA43E8"/>
    <w:rsid w:val="04BE1FB7"/>
    <w:rsid w:val="050D74DE"/>
    <w:rsid w:val="052209EE"/>
    <w:rsid w:val="0575118D"/>
    <w:rsid w:val="05AB7CD6"/>
    <w:rsid w:val="05C20614"/>
    <w:rsid w:val="05C80CBF"/>
    <w:rsid w:val="05F000CF"/>
    <w:rsid w:val="05FC1E1B"/>
    <w:rsid w:val="06FE525B"/>
    <w:rsid w:val="07120880"/>
    <w:rsid w:val="07184015"/>
    <w:rsid w:val="0735372C"/>
    <w:rsid w:val="08727DED"/>
    <w:rsid w:val="08923946"/>
    <w:rsid w:val="09051298"/>
    <w:rsid w:val="0A050B4C"/>
    <w:rsid w:val="0ACE5541"/>
    <w:rsid w:val="0B0116F3"/>
    <w:rsid w:val="0B0C17A3"/>
    <w:rsid w:val="0C18345E"/>
    <w:rsid w:val="0C7D6953"/>
    <w:rsid w:val="0D5F6388"/>
    <w:rsid w:val="0E59205C"/>
    <w:rsid w:val="0EA22F3B"/>
    <w:rsid w:val="0F276BEB"/>
    <w:rsid w:val="0F5119DC"/>
    <w:rsid w:val="0F852D95"/>
    <w:rsid w:val="0FD931CA"/>
    <w:rsid w:val="10E311AE"/>
    <w:rsid w:val="10E94308"/>
    <w:rsid w:val="110723DA"/>
    <w:rsid w:val="11461A06"/>
    <w:rsid w:val="119F74D1"/>
    <w:rsid w:val="12627D57"/>
    <w:rsid w:val="12E66007"/>
    <w:rsid w:val="12F70230"/>
    <w:rsid w:val="12FE4B03"/>
    <w:rsid w:val="13B559CE"/>
    <w:rsid w:val="13D004D1"/>
    <w:rsid w:val="14464ACD"/>
    <w:rsid w:val="146732BA"/>
    <w:rsid w:val="151C4379"/>
    <w:rsid w:val="16922233"/>
    <w:rsid w:val="16C117AF"/>
    <w:rsid w:val="177E5327"/>
    <w:rsid w:val="19167DE0"/>
    <w:rsid w:val="19B8606B"/>
    <w:rsid w:val="19C62999"/>
    <w:rsid w:val="1A29745F"/>
    <w:rsid w:val="1A323970"/>
    <w:rsid w:val="1ACA196C"/>
    <w:rsid w:val="1AF95F37"/>
    <w:rsid w:val="1AFB0E92"/>
    <w:rsid w:val="1BA82695"/>
    <w:rsid w:val="1C85301E"/>
    <w:rsid w:val="1D86328D"/>
    <w:rsid w:val="1E460CBE"/>
    <w:rsid w:val="1E797260"/>
    <w:rsid w:val="1F1C70E2"/>
    <w:rsid w:val="1F726B36"/>
    <w:rsid w:val="1FE54C5E"/>
    <w:rsid w:val="20091066"/>
    <w:rsid w:val="20790C62"/>
    <w:rsid w:val="214E009A"/>
    <w:rsid w:val="21673608"/>
    <w:rsid w:val="221F2588"/>
    <w:rsid w:val="227852C6"/>
    <w:rsid w:val="231C4FCB"/>
    <w:rsid w:val="234709C5"/>
    <w:rsid w:val="2349698E"/>
    <w:rsid w:val="24432DA3"/>
    <w:rsid w:val="25317177"/>
    <w:rsid w:val="25732DD9"/>
    <w:rsid w:val="27227D16"/>
    <w:rsid w:val="28A4256B"/>
    <w:rsid w:val="28BB173F"/>
    <w:rsid w:val="29113D09"/>
    <w:rsid w:val="29450D8C"/>
    <w:rsid w:val="299A3759"/>
    <w:rsid w:val="2A4C29BC"/>
    <w:rsid w:val="2A627563"/>
    <w:rsid w:val="2AF44355"/>
    <w:rsid w:val="2BEB457C"/>
    <w:rsid w:val="2C3054B3"/>
    <w:rsid w:val="2C871BC6"/>
    <w:rsid w:val="2CEB04A1"/>
    <w:rsid w:val="2E3B5B89"/>
    <w:rsid w:val="2E405A69"/>
    <w:rsid w:val="2E6643D0"/>
    <w:rsid w:val="2E75285F"/>
    <w:rsid w:val="2E8145A6"/>
    <w:rsid w:val="2F2B7A67"/>
    <w:rsid w:val="2F515987"/>
    <w:rsid w:val="2F7E64A6"/>
    <w:rsid w:val="2FB04727"/>
    <w:rsid w:val="30006127"/>
    <w:rsid w:val="30630A4E"/>
    <w:rsid w:val="31016A85"/>
    <w:rsid w:val="312A5453"/>
    <w:rsid w:val="33004DEB"/>
    <w:rsid w:val="338B578E"/>
    <w:rsid w:val="339225AD"/>
    <w:rsid w:val="33954318"/>
    <w:rsid w:val="339F67CB"/>
    <w:rsid w:val="341C4F60"/>
    <w:rsid w:val="342E59AB"/>
    <w:rsid w:val="347E558A"/>
    <w:rsid w:val="34C8142E"/>
    <w:rsid w:val="358842E8"/>
    <w:rsid w:val="36223DB2"/>
    <w:rsid w:val="37330142"/>
    <w:rsid w:val="377910E4"/>
    <w:rsid w:val="392A5BD8"/>
    <w:rsid w:val="39756284"/>
    <w:rsid w:val="39FF419D"/>
    <w:rsid w:val="3AF4350D"/>
    <w:rsid w:val="3B4E2106"/>
    <w:rsid w:val="3BA6419F"/>
    <w:rsid w:val="3C337682"/>
    <w:rsid w:val="3CAC76AA"/>
    <w:rsid w:val="3D625D0D"/>
    <w:rsid w:val="3D8956B6"/>
    <w:rsid w:val="3D9831C6"/>
    <w:rsid w:val="3DED717F"/>
    <w:rsid w:val="3E097A15"/>
    <w:rsid w:val="3E12197C"/>
    <w:rsid w:val="3EA47129"/>
    <w:rsid w:val="3EB46A14"/>
    <w:rsid w:val="3ECA5F30"/>
    <w:rsid w:val="3F721733"/>
    <w:rsid w:val="3FE14CED"/>
    <w:rsid w:val="405356F2"/>
    <w:rsid w:val="40E00301"/>
    <w:rsid w:val="41457066"/>
    <w:rsid w:val="429949F2"/>
    <w:rsid w:val="43753337"/>
    <w:rsid w:val="43BF704A"/>
    <w:rsid w:val="44323969"/>
    <w:rsid w:val="44986A87"/>
    <w:rsid w:val="44DB600A"/>
    <w:rsid w:val="44FC0422"/>
    <w:rsid w:val="45EC2955"/>
    <w:rsid w:val="46942BB1"/>
    <w:rsid w:val="470616DB"/>
    <w:rsid w:val="471F0DAA"/>
    <w:rsid w:val="47A0410C"/>
    <w:rsid w:val="47A30A69"/>
    <w:rsid w:val="47D82764"/>
    <w:rsid w:val="48890107"/>
    <w:rsid w:val="4A3B44AC"/>
    <w:rsid w:val="4A58677E"/>
    <w:rsid w:val="4AF86663"/>
    <w:rsid w:val="4B815623"/>
    <w:rsid w:val="4C416693"/>
    <w:rsid w:val="4CF01F0B"/>
    <w:rsid w:val="4D1D3F62"/>
    <w:rsid w:val="4DA30DF6"/>
    <w:rsid w:val="4F420FDF"/>
    <w:rsid w:val="4F444B61"/>
    <w:rsid w:val="4F561FD4"/>
    <w:rsid w:val="4F6A4246"/>
    <w:rsid w:val="4F6D60D8"/>
    <w:rsid w:val="4F8C29C1"/>
    <w:rsid w:val="4FE930DE"/>
    <w:rsid w:val="50332537"/>
    <w:rsid w:val="51AE0A76"/>
    <w:rsid w:val="5206348E"/>
    <w:rsid w:val="531F7491"/>
    <w:rsid w:val="53421821"/>
    <w:rsid w:val="536727A8"/>
    <w:rsid w:val="54135FA2"/>
    <w:rsid w:val="54973E8E"/>
    <w:rsid w:val="54CF040E"/>
    <w:rsid w:val="54E51FF3"/>
    <w:rsid w:val="56023C67"/>
    <w:rsid w:val="560E78CC"/>
    <w:rsid w:val="56A5472F"/>
    <w:rsid w:val="57DC39AE"/>
    <w:rsid w:val="5A304BA7"/>
    <w:rsid w:val="5A4E49A8"/>
    <w:rsid w:val="5A6E759B"/>
    <w:rsid w:val="5B187A73"/>
    <w:rsid w:val="5BBE67CB"/>
    <w:rsid w:val="5C131558"/>
    <w:rsid w:val="5D25664A"/>
    <w:rsid w:val="5D321CEF"/>
    <w:rsid w:val="5E171907"/>
    <w:rsid w:val="5E587732"/>
    <w:rsid w:val="5E8E73FB"/>
    <w:rsid w:val="5ECA2B28"/>
    <w:rsid w:val="5F58713F"/>
    <w:rsid w:val="5F8308CB"/>
    <w:rsid w:val="61067C2D"/>
    <w:rsid w:val="611D2D84"/>
    <w:rsid w:val="61254F98"/>
    <w:rsid w:val="61354461"/>
    <w:rsid w:val="61A7587D"/>
    <w:rsid w:val="61BD733E"/>
    <w:rsid w:val="6217398C"/>
    <w:rsid w:val="62B82995"/>
    <w:rsid w:val="6362206D"/>
    <w:rsid w:val="636941AF"/>
    <w:rsid w:val="636B5D27"/>
    <w:rsid w:val="6446060D"/>
    <w:rsid w:val="64F87E74"/>
    <w:rsid w:val="654E69BC"/>
    <w:rsid w:val="65754D10"/>
    <w:rsid w:val="65843BCF"/>
    <w:rsid w:val="65B4626A"/>
    <w:rsid w:val="6612672E"/>
    <w:rsid w:val="66C7341C"/>
    <w:rsid w:val="66F646C5"/>
    <w:rsid w:val="692141EF"/>
    <w:rsid w:val="69330229"/>
    <w:rsid w:val="693A7583"/>
    <w:rsid w:val="6A2440BF"/>
    <w:rsid w:val="6AD35907"/>
    <w:rsid w:val="6AD54404"/>
    <w:rsid w:val="6B001C27"/>
    <w:rsid w:val="6B253A11"/>
    <w:rsid w:val="6B6455AD"/>
    <w:rsid w:val="6BA338D3"/>
    <w:rsid w:val="6BB12C21"/>
    <w:rsid w:val="6C1B2EF1"/>
    <w:rsid w:val="6C95139C"/>
    <w:rsid w:val="6DE108AA"/>
    <w:rsid w:val="6E04191B"/>
    <w:rsid w:val="6E39036D"/>
    <w:rsid w:val="6E792D30"/>
    <w:rsid w:val="6E7F68E6"/>
    <w:rsid w:val="6EDB537B"/>
    <w:rsid w:val="6F132E69"/>
    <w:rsid w:val="6F550719"/>
    <w:rsid w:val="6F7E5846"/>
    <w:rsid w:val="6FE21D27"/>
    <w:rsid w:val="714260BB"/>
    <w:rsid w:val="716D25A3"/>
    <w:rsid w:val="73090D30"/>
    <w:rsid w:val="735971D2"/>
    <w:rsid w:val="73965498"/>
    <w:rsid w:val="745679C0"/>
    <w:rsid w:val="7466207D"/>
    <w:rsid w:val="758B6F2B"/>
    <w:rsid w:val="75B87B39"/>
    <w:rsid w:val="76C93890"/>
    <w:rsid w:val="76E5090E"/>
    <w:rsid w:val="76F43A9C"/>
    <w:rsid w:val="777703C3"/>
    <w:rsid w:val="77A31BE2"/>
    <w:rsid w:val="780F6B45"/>
    <w:rsid w:val="78600FD5"/>
    <w:rsid w:val="78CE2044"/>
    <w:rsid w:val="7A3E419F"/>
    <w:rsid w:val="7AB437D7"/>
    <w:rsid w:val="7B367DAF"/>
    <w:rsid w:val="7C172D1D"/>
    <w:rsid w:val="7C684423"/>
    <w:rsid w:val="7CEA38B5"/>
    <w:rsid w:val="7D9976CE"/>
    <w:rsid w:val="7D9E1C42"/>
    <w:rsid w:val="7E191006"/>
    <w:rsid w:val="7FF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adjustRightInd w:val="0"/>
      <w:snapToGrid w:val="0"/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5">
    <w:name w:val="font11"/>
    <w:basedOn w:val="4"/>
    <w:qFormat/>
    <w:uiPriority w:val="0"/>
    <w:rPr>
      <w:rFonts w:hint="eastAsia" w:ascii="等线" w:hAnsi="等线" w:eastAsia="等线" w:cs="等线"/>
      <w:b/>
      <w:bCs/>
      <w:color w:val="000000"/>
      <w:sz w:val="32"/>
      <w:szCs w:val="32"/>
      <w:u w:val="none"/>
    </w:rPr>
  </w:style>
  <w:style w:type="character" w:customStyle="1" w:styleId="6">
    <w:name w:val="font41"/>
    <w:basedOn w:val="4"/>
    <w:qFormat/>
    <w:uiPriority w:val="0"/>
    <w:rPr>
      <w:rFonts w:ascii="Arial" w:hAnsi="Arial" w:cs="Arial"/>
      <w:b/>
      <w:bCs/>
      <w:color w:val="000000"/>
      <w:sz w:val="32"/>
      <w:szCs w:val="32"/>
      <w:u w:val="none"/>
    </w:rPr>
  </w:style>
  <w:style w:type="character" w:customStyle="1" w:styleId="7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8">
    <w:name w:val="font61"/>
    <w:basedOn w:val="4"/>
    <w:qFormat/>
    <w:uiPriority w:val="0"/>
    <w:rPr>
      <w:rFonts w:ascii="仿宋_GB2312" w:hAnsi="仿宋_GB2312" w:eastAsia="仿宋_GB2312" w:cs="仿宋_GB2312"/>
      <w:color w:val="000000"/>
      <w:sz w:val="21"/>
      <w:szCs w:val="21"/>
      <w:u w:val="none"/>
    </w:rPr>
  </w:style>
  <w:style w:type="character" w:customStyle="1" w:styleId="9">
    <w:name w:val="font71"/>
    <w:basedOn w:val="4"/>
    <w:qFormat/>
    <w:uiPriority w:val="0"/>
    <w:rPr>
      <w:rFonts w:ascii="仿宋_GB2312" w:hAnsi="仿宋_GB2312" w:eastAsia="仿宋_GB2312" w:cs="仿宋_GB2312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2023-06-15T03:22:00Z</dcterms:created>
  <dc:creator>Administrator</dc:creator>
  <cp:lastModifiedBy>周超</cp:lastModifiedBy>
  <dcterms:modified xsi:type="dcterms:W3CDTF">2026-03-13T05:49:28Z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0FF8A803DB2449CA932AB9F7B447F22E</vt:lpwstr>
  </property>
  <property fmtid="{D5CDD505-2E9C-101B-9397-08002B2CF9AE}" pid="4" name="KSOTemplateDocerSaveRecord">
    <vt:lpwstr>eyJoZGlkIjoiZjlmOTA5OGRhMjE1MGEwOTFhMzMzZjA2NTVkMGY2MTMiLCJ1c2VySWQiOiIxNTY4MjU5MTE3In0=</vt:lpwstr>
  </property>
</Properties>
</file>