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EF9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2"/>
          <w:sz w:val="44"/>
          <w:szCs w:val="44"/>
          <w:lang w:val="en-US" w:eastAsia="zh-CN"/>
        </w:rPr>
        <w:t>租赁物业现状交付标准确认书</w:t>
      </w:r>
    </w:p>
    <w:tbl>
      <w:tblPr>
        <w:tblStyle w:val="6"/>
        <w:tblW w:w="101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8288"/>
      </w:tblGrid>
      <w:tr w14:paraId="4DF24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3EC9">
            <w:pPr>
              <w:widowControl/>
              <w:spacing w:line="560" w:lineRule="exact"/>
              <w:jc w:val="center"/>
              <w:rPr>
                <w:rStyle w:val="8"/>
                <w:rFonts w:hint="default" w:ascii="Times New Roman" w:hAnsi="Times New Roman" w:eastAsia="FangSong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8"/>
                <w:rFonts w:hint="default" w:ascii="Times New Roman" w:hAnsi="Times New Roman" w:eastAsia="FangSong_GB2312" w:cs="Times New Roman"/>
                <w:b/>
                <w:bCs/>
                <w:sz w:val="28"/>
                <w:szCs w:val="28"/>
                <w:highlight w:val="none"/>
              </w:rPr>
              <w:t>交付</w:t>
            </w:r>
            <w:r>
              <w:rPr>
                <w:rStyle w:val="8"/>
                <w:rFonts w:hint="eastAsia" w:ascii="Times New Roman" w:hAnsi="Times New Roman" w:eastAsia="FangSong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项目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A050">
            <w:pPr>
              <w:widowControl/>
              <w:spacing w:line="560" w:lineRule="exact"/>
              <w:jc w:val="center"/>
              <w:rPr>
                <w:rStyle w:val="8"/>
                <w:rFonts w:hint="eastAsia" w:ascii="Times New Roman" w:hAnsi="Times New Roman" w:eastAsia="FangSong_GB2312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8"/>
                <w:rFonts w:hint="default" w:ascii="Times New Roman" w:hAnsi="Times New Roman" w:eastAsia="FangSong_GB2312" w:cs="Times New Roman"/>
                <w:b/>
                <w:bCs/>
                <w:sz w:val="28"/>
                <w:szCs w:val="28"/>
                <w:highlight w:val="none"/>
              </w:rPr>
              <w:t>交付</w:t>
            </w:r>
            <w:r>
              <w:rPr>
                <w:rStyle w:val="8"/>
                <w:rFonts w:hint="eastAsia" w:ascii="Times New Roman" w:hAnsi="Times New Roman" w:eastAsia="FangSong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标准</w:t>
            </w:r>
          </w:p>
        </w:tc>
      </w:tr>
      <w:tr w14:paraId="75742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计租面积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7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17240.01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㎡</w:t>
            </w:r>
          </w:p>
        </w:tc>
      </w:tr>
      <w:tr w14:paraId="09E3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E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权证情况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1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主楼产权面积为15701.46㎡，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不动产权证，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权利类型为国有建设用地使用权/房屋所有权，权利性质为划拨/自管产，用途为商业用地/办公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产权证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：湘（2025）长沙市不动产权第0073277号）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门楼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测绘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面积为1538.55㎡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不动产权证；</w:t>
            </w:r>
          </w:p>
          <w:p w14:paraId="475B6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该资产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无竣工验收备案表，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FFFFFF" w:fill="auto"/>
                <w:lang w:val="en-US" w:eastAsia="zh-CN" w:bidi="ar"/>
              </w:rPr>
              <w:t>无一次消防工程竣工验收合格意见书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5D7D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国土证地类（用途）：商业服务、培训中心用地；使用权类型：行政划拨地。</w:t>
            </w:r>
          </w:p>
        </w:tc>
      </w:tr>
      <w:tr w14:paraId="55312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5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房屋结构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6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1.主楼：砖混/混合结构，门楼：框架结构；</w:t>
            </w:r>
          </w:p>
          <w:p w14:paraId="4CF9D296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2.主楼建筑地面总高度：79.55m，主楼层高：3.2m，加建门楼：大厅9.14m；</w:t>
            </w:r>
          </w:p>
          <w:p w14:paraId="3E07F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3.幕墙：钢结构框架、屋顶钢架为外装支撑门式架（无屋盖），不允许增加任何形式的屋盖系统；</w:t>
            </w:r>
          </w:p>
          <w:p w14:paraId="71FF4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4.资产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负一层（949.61㎡）、负二层（677.21㎡）区域为人防工程，使用过程中不得降低或破坏人防工程的防护功能。</w:t>
            </w:r>
          </w:p>
        </w:tc>
      </w:tr>
      <w:tr w14:paraId="6482E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8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  <w:highlight w:val="none"/>
                <w:lang w:val="en-US" w:eastAsia="zh-CN"/>
              </w:rPr>
              <w:t>楼板荷载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8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设计采用可变荷载值：各层大厅3.5kN/m²、车道5kN/m²、设备房5kN/m²、KTV 3.5kN/m²、包房3.5kN/m²、屋面（不上人）1.5kN/m²，其余荷载参数详见招商文件附件图纸。</w:t>
            </w:r>
          </w:p>
        </w:tc>
      </w:tr>
      <w:tr w14:paraId="6BBF4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8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消防情况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6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FFFFFF" w:fill="auto"/>
                <w:lang w:val="en-US" w:eastAsia="zh-CN" w:bidi="ar"/>
              </w:rPr>
              <w:t>无一次消防工程竣工验收合格意见书，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有独立烟感，现共同管理区域为消防水池、联动室、水泵房（各自自行负责区域），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由承租人自行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"/>
              </w:rPr>
              <w:t>增设经营所需设施设备并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负责办理消防手续及消防改造等工程，所涉费用由承租人承担。</w:t>
            </w:r>
          </w:p>
        </w:tc>
      </w:tr>
      <w:tr w14:paraId="03409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0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电力负荷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6172E"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现共同管理区域为4台1250kw变压器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，设备共用，如需分割区域需与人社局、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长沙城发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与电力公司沟通独立划分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如需独立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划分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、增容由承租人自行负责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"/>
              </w:rPr>
              <w:t>相关手续办理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并承担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"/>
              </w:rPr>
              <w:t>相关费用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7F3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C30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上下水、给排水</w:t>
            </w:r>
          </w:p>
          <w:p w14:paraId="0E0C4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F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上下水：给水管径D100镀锌管、排水管径D100铸铁管,位于主楼。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如需增容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"/>
              </w:rPr>
              <w:t>与改造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由承租人自行负责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"/>
              </w:rPr>
              <w:t>并承担相关费用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17447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5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排烟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576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主楼和加建门楼内部无商业烟道。</w:t>
            </w:r>
          </w:p>
        </w:tc>
      </w:tr>
      <w:tr w14:paraId="0AD5B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燃气情况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C37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5F餐饮区域有燃气管道，账户：长沙喜上喜酒店管理有限公司3037892306；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承租人自行负责过户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"/>
              </w:rPr>
              <w:t>并承担相关费用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1734F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9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highlight w:val="none"/>
              </w:rPr>
              <w:t>空调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75B3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空调：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现共同管理区域共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3台（远大二代溴化锂主机1997年购入），其中1、3号空调可使用，2号空调已损坏，效率低，主管网已使用15年，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资产归属为业主单位，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原烧气使用，空调无效果。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目前与人社局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租用新机器代替损坏2号机，按流量计费，暂时难以分割，如需分割需与业主单位协调及费用划分，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承租人自行负责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"/>
              </w:rPr>
              <w:t>并承担相关费用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52B41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81D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934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电梯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电梯：4台（于1993年购入，已使用32年，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资产归属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业主单位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eastAsia="zh"/>
              </w:rPr>
              <w:t>相关维修、维护、更换、更新、年检等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由承租人自行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"/>
              </w:rPr>
              <w:t>负责并承担相应费用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443B1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水电表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00894">
            <w:pPr>
              <w:spacing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1.电表户名：人社局， 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费用根据分表用量及总电费计算损耗均摊后缴纳给人社局（无发票）；</w:t>
            </w:r>
          </w:p>
          <w:p w14:paraId="512E2BA6"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2.水表户名：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小天鹅戴斯酒店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，账号：000018596 ，承租人自行负责过户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"/>
              </w:rPr>
              <w:t>并承担相关费用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17FC4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1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物业管理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B62B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长沙市长房物业管理有限公司，承租人自行与物业公司签订物业合同，并承担物业管理费用。</w:t>
            </w:r>
          </w:p>
        </w:tc>
      </w:tr>
      <w:tr w14:paraId="0854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8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停车位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4B7C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无指定专用停车位，保留消防车通道后，酒店正门通道处可停放车辆8辆，后面通道可停车8辆。</w:t>
            </w:r>
          </w:p>
        </w:tc>
      </w:tr>
      <w:tr w14:paraId="38C52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D280">
            <w:pPr>
              <w:widowControl/>
              <w:spacing w:line="240" w:lineRule="auto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特别注意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说明：</w:t>
            </w:r>
          </w:p>
          <w:p w14:paraId="316BB274">
            <w:pPr>
              <w:widowControl/>
              <w:numPr>
                <w:ilvl w:val="0"/>
                <w:numId w:val="0"/>
              </w:numPr>
              <w:spacing w:line="240" w:lineRule="auto"/>
              <w:ind w:right="0" w:rightChars="0"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现状交付后，租赁物业内的设施设备维修、维护、保养及日常使用发生的费用及责任全部由承租人自行承担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F21E468">
            <w:pPr>
              <w:widowControl/>
              <w:spacing w:line="240" w:lineRule="auto"/>
              <w:ind w:right="0" w:rightChars="0"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.鉴于，租赁物业存在以上客观情况，可能导致承租人无法根据其自身经营业态需要顺利办理消防、经营许可等手续，存在无法开展正常经营的风险，承租人不得为此向招商人、出租人主张任何形式的赔偿或补偿。</w:t>
            </w:r>
          </w:p>
        </w:tc>
      </w:tr>
    </w:tbl>
    <w:p w14:paraId="581FA4BB">
      <w:pPr>
        <w:spacing w:line="560" w:lineRule="exact"/>
        <w:ind w:firstLine="640" w:firstLineChars="200"/>
        <w:rPr>
          <w:rFonts w:hint="default" w:ascii="Times New Roman" w:hAnsi="Times New Roman" w:eastAsia="FangSong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报名人已通过现场查勘方式全面掌握了小天鹅酒店资产物业现状，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认可租赁物业的现状（包括但不限于该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租赁物业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本身的国土控规及权证情况、工程物业条件、周边及本身自然地理状况，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租赁物业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范围内的附属物、添附物、公用设施、配套设施、基础设施等状况，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租赁物业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周边环境及相邻物业的情况，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租赁物业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本身法律状况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租赁物业面积情况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。报名人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承诺，若取得承租资格，同意按上表所列现状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接收租赁物业，且不以任何理由拒绝缴纳租赁费用或申请减免或拒不履行《租赁合同》项下义务等行为。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    </w:t>
      </w:r>
    </w:p>
    <w:p w14:paraId="68FFFBDE">
      <w:pPr>
        <w:spacing w:line="520" w:lineRule="exact"/>
        <w:jc w:val="left"/>
        <w:rPr>
          <w:rFonts w:hint="default" w:ascii="Times New Roman" w:hAnsi="Times New Roman" w:eastAsia="FangSong_GB2312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sz w:val="28"/>
          <w:szCs w:val="28"/>
          <w:highlight w:val="none"/>
          <w:lang w:val="en-US" w:eastAsia="zh-CN"/>
        </w:rPr>
        <w:t xml:space="preserve">                                  </w:t>
      </w:r>
    </w:p>
    <w:p w14:paraId="22072ACC">
      <w:pPr>
        <w:spacing w:line="520" w:lineRule="exact"/>
        <w:jc w:val="left"/>
        <w:rPr>
          <w:rFonts w:hint="default" w:ascii="Times New Roman" w:hAnsi="Times New Roman" w:eastAsia="FangSong_GB2312" w:cs="Times New Roman"/>
          <w:b/>
          <w:bCs/>
          <w:sz w:val="28"/>
          <w:szCs w:val="28"/>
          <w:highlight w:val="none"/>
          <w:lang w:val="en-US" w:eastAsia="zh-CN"/>
        </w:rPr>
      </w:pPr>
    </w:p>
    <w:p w14:paraId="73701299">
      <w:pPr>
        <w:ind w:firstLine="4779" w:firstLineChars="1700"/>
        <w:jc w:val="both"/>
        <w:rPr>
          <w:rFonts w:hint="default" w:ascii="Times New Roman" w:hAnsi="Times New Roman" w:eastAsia="FangSong_GB2312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sz w:val="28"/>
          <w:szCs w:val="28"/>
          <w:highlight w:val="none"/>
          <w:lang w:val="en-US" w:eastAsia="zh-CN"/>
        </w:rPr>
        <w:t>确认人：（盖章）</w:t>
      </w:r>
    </w:p>
    <w:p w14:paraId="2EAB4351">
      <w:pPr>
        <w:jc w:val="center"/>
        <w:rPr>
          <w:rFonts w:hint="default" w:ascii="Times New Roman" w:hAnsi="Times New Roman" w:eastAsia="FangSong_GB2312" w:cs="Times New Roman"/>
          <w:b/>
          <w:bCs/>
          <w:sz w:val="28"/>
          <w:szCs w:val="28"/>
          <w:highlight w:val="none"/>
          <w:lang w:val="en-US" w:eastAsia="zh-CN"/>
        </w:rPr>
      </w:pPr>
    </w:p>
    <w:p w14:paraId="2240F984">
      <w:pPr>
        <w:ind w:firstLine="4779" w:firstLineChars="1700"/>
        <w:jc w:val="both"/>
        <w:rPr>
          <w:rFonts w:hint="default" w:ascii="Times New Roman" w:hAnsi="Times New Roman" w:eastAsia="FangSong_GB2312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FangSong_GB2312" w:cs="Times New Roman"/>
          <w:b/>
          <w:bCs/>
          <w:sz w:val="28"/>
          <w:szCs w:val="28"/>
          <w:highlight w:val="none"/>
          <w:lang w:val="en-US" w:eastAsia="zh-CN"/>
        </w:rPr>
        <w:t>时  间：</w:t>
      </w: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YTQyZDFjYjFkYzRjMGY4YmJhMTJjN2Y3OTA3NzIifQ=="/>
  </w:docVars>
  <w:rsids>
    <w:rsidRoot w:val="506E44E7"/>
    <w:rsid w:val="00046A9F"/>
    <w:rsid w:val="00C473D6"/>
    <w:rsid w:val="028A3503"/>
    <w:rsid w:val="039822A4"/>
    <w:rsid w:val="03AA6127"/>
    <w:rsid w:val="068837D5"/>
    <w:rsid w:val="077D13C5"/>
    <w:rsid w:val="09754B8D"/>
    <w:rsid w:val="0E502C08"/>
    <w:rsid w:val="0F48288A"/>
    <w:rsid w:val="0FD33206"/>
    <w:rsid w:val="10C81A46"/>
    <w:rsid w:val="112255D5"/>
    <w:rsid w:val="12A13B75"/>
    <w:rsid w:val="12ED170A"/>
    <w:rsid w:val="12F65C09"/>
    <w:rsid w:val="16912F50"/>
    <w:rsid w:val="16DB1689"/>
    <w:rsid w:val="1813684E"/>
    <w:rsid w:val="18F67778"/>
    <w:rsid w:val="1B1B6807"/>
    <w:rsid w:val="1B3B543B"/>
    <w:rsid w:val="1E0B0402"/>
    <w:rsid w:val="1E176505"/>
    <w:rsid w:val="1FF02D89"/>
    <w:rsid w:val="20FC2613"/>
    <w:rsid w:val="211C4103"/>
    <w:rsid w:val="21C4280D"/>
    <w:rsid w:val="221242BB"/>
    <w:rsid w:val="22901A6E"/>
    <w:rsid w:val="231F420F"/>
    <w:rsid w:val="23EF4B80"/>
    <w:rsid w:val="24084772"/>
    <w:rsid w:val="24FA6279"/>
    <w:rsid w:val="2582722D"/>
    <w:rsid w:val="27B25372"/>
    <w:rsid w:val="290F41D6"/>
    <w:rsid w:val="2BCC6037"/>
    <w:rsid w:val="2C071E9F"/>
    <w:rsid w:val="2C442847"/>
    <w:rsid w:val="2E0002CA"/>
    <w:rsid w:val="2E0C0899"/>
    <w:rsid w:val="3015608C"/>
    <w:rsid w:val="31E15093"/>
    <w:rsid w:val="320529B7"/>
    <w:rsid w:val="34F40185"/>
    <w:rsid w:val="354625D5"/>
    <w:rsid w:val="35CD7961"/>
    <w:rsid w:val="36724C69"/>
    <w:rsid w:val="36E24D45"/>
    <w:rsid w:val="37E97B07"/>
    <w:rsid w:val="39050D9A"/>
    <w:rsid w:val="3919365D"/>
    <w:rsid w:val="3934687A"/>
    <w:rsid w:val="39552924"/>
    <w:rsid w:val="39B67F8E"/>
    <w:rsid w:val="3BF14AB4"/>
    <w:rsid w:val="3F4C35BD"/>
    <w:rsid w:val="40557732"/>
    <w:rsid w:val="42BA7AC8"/>
    <w:rsid w:val="43394768"/>
    <w:rsid w:val="44031456"/>
    <w:rsid w:val="44086DA5"/>
    <w:rsid w:val="446B4ABF"/>
    <w:rsid w:val="449A3D90"/>
    <w:rsid w:val="44A45ECC"/>
    <w:rsid w:val="45CC4859"/>
    <w:rsid w:val="47854E89"/>
    <w:rsid w:val="47FC2B2D"/>
    <w:rsid w:val="48C65473"/>
    <w:rsid w:val="49352BF5"/>
    <w:rsid w:val="49847776"/>
    <w:rsid w:val="49F4406B"/>
    <w:rsid w:val="4A546909"/>
    <w:rsid w:val="4A9F1994"/>
    <w:rsid w:val="4B033901"/>
    <w:rsid w:val="4F9B2E58"/>
    <w:rsid w:val="4FF62157"/>
    <w:rsid w:val="506E44E7"/>
    <w:rsid w:val="51EC5520"/>
    <w:rsid w:val="5899083F"/>
    <w:rsid w:val="5A3717DE"/>
    <w:rsid w:val="5B4E6944"/>
    <w:rsid w:val="5B717AA3"/>
    <w:rsid w:val="5D5D2693"/>
    <w:rsid w:val="5E16021F"/>
    <w:rsid w:val="5E3260E6"/>
    <w:rsid w:val="5E393C8A"/>
    <w:rsid w:val="601E5743"/>
    <w:rsid w:val="60E626A7"/>
    <w:rsid w:val="611E3379"/>
    <w:rsid w:val="61577ECA"/>
    <w:rsid w:val="62093B16"/>
    <w:rsid w:val="651179EF"/>
    <w:rsid w:val="65E026C9"/>
    <w:rsid w:val="65F44DF9"/>
    <w:rsid w:val="66094C71"/>
    <w:rsid w:val="66F8536A"/>
    <w:rsid w:val="682630DB"/>
    <w:rsid w:val="69AC22D7"/>
    <w:rsid w:val="69B12A75"/>
    <w:rsid w:val="6A10454D"/>
    <w:rsid w:val="6A64066C"/>
    <w:rsid w:val="6B014EDC"/>
    <w:rsid w:val="6B061320"/>
    <w:rsid w:val="6C194F7E"/>
    <w:rsid w:val="6C7C5287"/>
    <w:rsid w:val="6D120A88"/>
    <w:rsid w:val="6D2F762E"/>
    <w:rsid w:val="6D50610C"/>
    <w:rsid w:val="6F517BBC"/>
    <w:rsid w:val="6F7A6A35"/>
    <w:rsid w:val="70B632EA"/>
    <w:rsid w:val="71242F45"/>
    <w:rsid w:val="72FD4238"/>
    <w:rsid w:val="77CF30E0"/>
    <w:rsid w:val="78541DE1"/>
    <w:rsid w:val="799D3D99"/>
    <w:rsid w:val="7BFA7B52"/>
    <w:rsid w:val="7C1560C2"/>
    <w:rsid w:val="7D05319E"/>
    <w:rsid w:val="7D7C2488"/>
    <w:rsid w:val="7E135EA4"/>
    <w:rsid w:val="7E413F6C"/>
    <w:rsid w:val="7E707A1F"/>
    <w:rsid w:val="7F2F424E"/>
    <w:rsid w:val="7F73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</w:style>
  <w:style w:type="paragraph" w:styleId="4">
    <w:name w:val="annotation subject"/>
    <w:basedOn w:val="2"/>
    <w:next w:val="1"/>
    <w:autoRedefine/>
    <w:qFormat/>
    <w:uiPriority w:val="0"/>
    <w:rPr>
      <w:b/>
      <w:bCs/>
    </w:rPr>
  </w:style>
  <w:style w:type="paragraph" w:styleId="5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1477</Words>
  <Characters>1616</Characters>
  <Lines>0</Lines>
  <Paragraphs>0</Paragraphs>
  <TotalTime>8</TotalTime>
  <ScaleCrop>false</ScaleCrop>
  <LinksUpToDate>false</LinksUpToDate>
  <CharactersWithSpaces>1660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2025-12-17T02:28:00Z</dcterms:created>
  <dc:creator>杨天一</dc:creator>
  <cp:lastModifiedBy>曹靖</cp:lastModifiedBy>
  <cp:lastPrinted>2025-12-31T06:51:33Z</cp:lastPrinted>
  <dcterms:modified xsi:type="dcterms:W3CDTF">2025-12-31T06:51:35Z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4F2EBBB7132046199988FE8B48EA6D24_13</vt:lpwstr>
  </property>
  <property fmtid="{D5CDD505-2E9C-101B-9397-08002B2CF9AE}" pid="4" name="KSOTemplateDocerSaveRecord">
    <vt:lpwstr>eyJoZGlkIjoiODAzZTQxOTQzZTIyY2FlMmY4MTFkYmU4NzNmMmU5MTYiLCJ1c2VySWQiOiIxNDc4MjU3MDA3In0=</vt:lpwstr>
  </property>
</Properties>
</file>